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894.054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3.2 знать основные физиологические и психологические особенности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3.3 уметь осуществлять учебное сотрудничество и совместную учебную деятельность обучающихся и воспитанников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3.4 уметь соотносить виды адресной помощи с индивидуальными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3.5 владеть методами (первичного) выявления детей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4.1 знать основы духовно-нравственного воспитания обучающихся</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4.2 знать психолого-педагогические основы программ воспитательной работы с обучающимися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4.3 уметь учитывать социокультурную ситуацию при реализации программ духовно-нравственного воспитания обучающихся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4.4 уметь реализовывать программы воспитания и социализации обучающихся, воспитанников</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1.2 уметь находить и критически анализировать информацию, необходимую для решения поставленной задачи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1.3 уметь рассматривать различные варианты решения задачи, оценивая их достоинства и недостатки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1.4 уметь отличать факты от мнений, интерпретаций, оценок и т.д. в рассуждениях других участников деятельности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1.5 уметь определять и оценивать практические последствия возможных решений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1.6 владеть  анализом задачи, выделяя ее базовые составляющие, навыками осуществления декомпозиции задачи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1.7 владеть навыком грамотно, логично, аргументированно формировать собственные суждения и оценки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1.8 владеть навыком обосновывать действия, определять возможности и ограничения их применимости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российской государственности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52"/>
        </w:trPr>
        <w:tc>
          <w:tcPr>
            <w:tcW w:w="3970" w:type="dxa"/>
          </w:tcPr>
          <w:p/>
        </w:tc>
        <w:tc>
          <w:tcPr>
            <w:tcW w:w="4679" w:type="dxa"/>
          </w:tcPr>
          <w:p/>
        </w:tc>
        <w:tc>
          <w:tcPr>
            <w:tcW w:w="993" w:type="dxa"/>
          </w:tcPr>
          <w:p/>
        </w:tc>
      </w:tr>
      <w:tr>
        <w:trPr>
          <w:trHeight w:hRule="exact" w:val="886.410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4631.5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Геноцид в отношении советского народа</w:t>
            </w:r>
          </w:p>
          <w:p>
            <w:pPr>
              <w:jc w:val="center"/>
              <w:spacing w:after="0" w:line="240" w:lineRule="auto"/>
              <w:rPr>
                <w:sz w:val="24"/>
                <w:szCs w:val="24"/>
              </w:rPr>
            </w:pPr>
            <w:r>
              <w:rPr>
                <w:rFonts w:ascii="Times New Roman" w:hAnsi="Times New Roman" w:cs="Times New Roman"/>
                <w:b/>
                <w:color w:val="#000000"/>
                <w:sz w:val="24"/>
                <w:szCs w:val="24"/>
              </w:rPr>
              <w:t> со стороны нацистов и их пособников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база системы патриотического</w:t>
            </w:r>
          </w:p>
          <w:p>
            <w:pPr>
              <w:jc w:val="center"/>
              <w:spacing w:after="0" w:line="240" w:lineRule="auto"/>
              <w:rPr>
                <w:sz w:val="24"/>
                <w:szCs w:val="24"/>
              </w:rPr>
            </w:pPr>
            <w:r>
              <w:rPr>
                <w:rFonts w:ascii="Times New Roman" w:hAnsi="Times New Roman" w:cs="Times New Roman"/>
                <w:b/>
                <w:color w:val="#000000"/>
                <w:sz w:val="24"/>
                <w:szCs w:val="24"/>
              </w:rPr>
              <w:t> воспитания школьников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нацистов на оккупированных</w:t>
            </w:r>
          </w:p>
          <w:p>
            <w:pPr>
              <w:jc w:val="center"/>
              <w:spacing w:after="0" w:line="240" w:lineRule="auto"/>
              <w:rPr>
                <w:sz w:val="24"/>
                <w:szCs w:val="24"/>
              </w:rPr>
            </w:pPr>
            <w:r>
              <w:rPr>
                <w:rFonts w:ascii="Times New Roman" w:hAnsi="Times New Roman" w:cs="Times New Roman"/>
                <w:b/>
                <w:color w:val="#000000"/>
                <w:sz w:val="24"/>
                <w:szCs w:val="24"/>
              </w:rPr>
              <w:t> территориях Советского Союза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Интернет-ресурсы для</w:t>
            </w:r>
          </w:p>
          <w:p>
            <w:pPr>
              <w:jc w:val="center"/>
              <w:spacing w:after="0" w:line="240" w:lineRule="auto"/>
              <w:rPr>
                <w:sz w:val="24"/>
                <w:szCs w:val="24"/>
              </w:rPr>
            </w:pPr>
            <w:r>
              <w:rPr>
                <w:rFonts w:ascii="Times New Roman" w:hAnsi="Times New Roman" w:cs="Times New Roman"/>
                <w:b/>
                <w:color w:val="#000000"/>
                <w:sz w:val="24"/>
                <w:szCs w:val="24"/>
              </w:rPr>
              <w:t> реализации проекта «Без срока давности».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кино о трагедии наших</w:t>
            </w:r>
          </w:p>
          <w:p>
            <w:pPr>
              <w:jc w:val="center"/>
              <w:spacing w:after="0" w:line="240" w:lineRule="auto"/>
              <w:rPr>
                <w:sz w:val="24"/>
                <w:szCs w:val="24"/>
              </w:rPr>
            </w:pPr>
            <w:r>
              <w:rPr>
                <w:rFonts w:ascii="Times New Roman" w:hAnsi="Times New Roman" w:cs="Times New Roman"/>
                <w:b/>
                <w:color w:val="#000000"/>
                <w:sz w:val="24"/>
                <w:szCs w:val="24"/>
              </w:rPr>
              <w:t> соотечественников в годы Великой</w:t>
            </w:r>
          </w:p>
          <w:p>
            <w:pPr>
              <w:jc w:val="center"/>
              <w:spacing w:after="0" w:line="240" w:lineRule="auto"/>
              <w:rPr>
                <w:sz w:val="24"/>
                <w:szCs w:val="24"/>
              </w:rPr>
            </w:pPr>
            <w:r>
              <w:rPr>
                <w:rFonts w:ascii="Times New Roman" w:hAnsi="Times New Roman" w:cs="Times New Roman"/>
                <w:b/>
                <w:color w:val="#000000"/>
                <w:sz w:val="24"/>
                <w:szCs w:val="24"/>
              </w:rPr>
              <w:t> Отечественной войны.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Музыка, драма и литература военного</w:t>
            </w:r>
          </w:p>
          <w:p>
            <w:pPr>
              <w:jc w:val="center"/>
              <w:spacing w:after="0" w:line="240" w:lineRule="auto"/>
              <w:rPr>
                <w:sz w:val="24"/>
                <w:szCs w:val="24"/>
              </w:rPr>
            </w:pPr>
            <w:r>
              <w:rPr>
                <w:rFonts w:ascii="Times New Roman" w:hAnsi="Times New Roman" w:cs="Times New Roman"/>
                <w:b/>
                <w:color w:val="#000000"/>
                <w:sz w:val="24"/>
                <w:szCs w:val="24"/>
              </w:rPr>
              <w:t> времени как источник исторической эпохи.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проект «Без срока давности» как</w:t>
            </w:r>
          </w:p>
          <w:p>
            <w:pPr>
              <w:jc w:val="center"/>
              <w:spacing w:after="0" w:line="240" w:lineRule="auto"/>
              <w:rPr>
                <w:sz w:val="24"/>
                <w:szCs w:val="24"/>
              </w:rPr>
            </w:pPr>
            <w:r>
              <w:rPr>
                <w:rFonts w:ascii="Times New Roman" w:hAnsi="Times New Roman" w:cs="Times New Roman"/>
                <w:b/>
                <w:color w:val="#000000"/>
                <w:sz w:val="24"/>
                <w:szCs w:val="24"/>
              </w:rPr>
              <w:t> часть системы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внеурочных</w:t>
            </w:r>
          </w:p>
          <w:p>
            <w:pPr>
              <w:jc w:val="center"/>
              <w:spacing w:after="0" w:line="240" w:lineRule="auto"/>
              <w:rPr>
                <w:sz w:val="24"/>
                <w:szCs w:val="24"/>
              </w:rPr>
            </w:pPr>
            <w:r>
              <w:rPr>
                <w:rFonts w:ascii="Times New Roman" w:hAnsi="Times New Roman" w:cs="Times New Roman"/>
                <w:b/>
                <w:color w:val="#000000"/>
                <w:sz w:val="24"/>
                <w:szCs w:val="24"/>
              </w:rPr>
              <w:t> мероприятий на основе материалов Проекта«Без срока давности»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Противодействие фальсификации</w:t>
            </w:r>
          </w:p>
          <w:p>
            <w:pPr>
              <w:jc w:val="center"/>
              <w:spacing w:after="0" w:line="240" w:lineRule="auto"/>
              <w:rPr>
                <w:sz w:val="24"/>
                <w:szCs w:val="24"/>
              </w:rPr>
            </w:pPr>
            <w:r>
              <w:rPr>
                <w:rFonts w:ascii="Times New Roman" w:hAnsi="Times New Roman" w:cs="Times New Roman"/>
                <w:b/>
                <w:color w:val="#000000"/>
                <w:sz w:val="24"/>
                <w:szCs w:val="24"/>
              </w:rPr>
              <w:t> истории преступлений нацистов и их</w:t>
            </w:r>
          </w:p>
          <w:p>
            <w:pPr>
              <w:jc w:val="center"/>
              <w:spacing w:after="0" w:line="240" w:lineRule="auto"/>
              <w:rPr>
                <w:sz w:val="24"/>
                <w:szCs w:val="24"/>
              </w:rPr>
            </w:pPr>
            <w:r>
              <w:rPr>
                <w:rFonts w:ascii="Times New Roman" w:hAnsi="Times New Roman" w:cs="Times New Roman"/>
                <w:b/>
                <w:color w:val="#000000"/>
                <w:sz w:val="24"/>
                <w:szCs w:val="24"/>
              </w:rPr>
              <w:t> пособников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Фото и видео фрагменты,</w:t>
            </w:r>
          </w:p>
          <w:p>
            <w:pPr>
              <w:jc w:val="center"/>
              <w:spacing w:after="0" w:line="240" w:lineRule="auto"/>
              <w:rPr>
                <w:sz w:val="24"/>
                <w:szCs w:val="24"/>
              </w:rPr>
            </w:pPr>
            <w:r>
              <w:rPr>
                <w:rFonts w:ascii="Times New Roman" w:hAnsi="Times New Roman" w:cs="Times New Roman"/>
                <w:b/>
                <w:color w:val="#000000"/>
                <w:sz w:val="24"/>
                <w:szCs w:val="24"/>
              </w:rPr>
              <w:t> документальные фильмы о геноциде</w:t>
            </w:r>
          </w:p>
          <w:p>
            <w:pPr>
              <w:jc w:val="center"/>
              <w:spacing w:after="0" w:line="240" w:lineRule="auto"/>
              <w:rPr>
                <w:sz w:val="24"/>
                <w:szCs w:val="24"/>
              </w:rPr>
            </w:pPr>
            <w:r>
              <w:rPr>
                <w:rFonts w:ascii="Times New Roman" w:hAnsi="Times New Roman" w:cs="Times New Roman"/>
                <w:b/>
                <w:color w:val="#000000"/>
                <w:sz w:val="24"/>
                <w:szCs w:val="24"/>
              </w:rPr>
              <w:t> советского мирного населения на</w:t>
            </w:r>
          </w:p>
          <w:p>
            <w:pPr>
              <w:jc w:val="center"/>
              <w:spacing w:after="0" w:line="240" w:lineRule="auto"/>
              <w:rPr>
                <w:sz w:val="24"/>
                <w:szCs w:val="24"/>
              </w:rPr>
            </w:pPr>
            <w:r>
              <w:rPr>
                <w:rFonts w:ascii="Times New Roman" w:hAnsi="Times New Roman" w:cs="Times New Roman"/>
                <w:b/>
                <w:color w:val="#000000"/>
                <w:sz w:val="24"/>
                <w:szCs w:val="24"/>
              </w:rPr>
              <w:t> оккупированных нацистами территориях.</w:t>
            </w:r>
          </w:p>
          <w:p>
            <w:pPr>
              <w:jc w:val="center"/>
              <w:spacing w:after="0" w:line="240" w:lineRule="auto"/>
              <w:rPr>
                <w:sz w:val="24"/>
                <w:szCs w:val="24"/>
              </w:rPr>
            </w:pPr>
            <w:r>
              <w:rPr>
                <w:rFonts w:ascii="Times New Roman" w:hAnsi="Times New Roman" w:cs="Times New Roman"/>
                <w:b/>
                <w:color w:val="#000000"/>
                <w:sz w:val="24"/>
                <w:szCs w:val="24"/>
              </w:rPr>
              <w:t> Использование центральной и местной</w:t>
            </w:r>
          </w:p>
          <w:p>
            <w:pPr>
              <w:jc w:val="center"/>
              <w:spacing w:after="0" w:line="240" w:lineRule="auto"/>
              <w:rPr>
                <w:sz w:val="24"/>
                <w:szCs w:val="24"/>
              </w:rPr>
            </w:pPr>
            <w:r>
              <w:rPr>
                <w:rFonts w:ascii="Times New Roman" w:hAnsi="Times New Roman" w:cs="Times New Roman"/>
                <w:b/>
                <w:color w:val="#000000"/>
                <w:sz w:val="24"/>
                <w:szCs w:val="24"/>
              </w:rPr>
              <w:t> периодики военного времени.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формы, технологии, методы,</w:t>
            </w:r>
          </w:p>
          <w:p>
            <w:pPr>
              <w:jc w:val="center"/>
              <w:spacing w:after="0" w:line="240" w:lineRule="auto"/>
              <w:rPr>
                <w:sz w:val="24"/>
                <w:szCs w:val="24"/>
              </w:rPr>
            </w:pPr>
            <w:r>
              <w:rPr>
                <w:rFonts w:ascii="Times New Roman" w:hAnsi="Times New Roman" w:cs="Times New Roman"/>
                <w:b/>
                <w:color w:val="#000000"/>
                <w:sz w:val="24"/>
                <w:szCs w:val="24"/>
              </w:rPr>
              <w:t> приемы и средства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 школьников во</w:t>
            </w:r>
          </w:p>
          <w:p>
            <w:pPr>
              <w:jc w:val="center"/>
              <w:spacing w:after="0" w:line="240" w:lineRule="auto"/>
              <w:rPr>
                <w:sz w:val="24"/>
                <w:szCs w:val="24"/>
              </w:rPr>
            </w:pPr>
            <w:r>
              <w:rPr>
                <w:rFonts w:ascii="Times New Roman" w:hAnsi="Times New Roman" w:cs="Times New Roman"/>
                <w:b/>
                <w:color w:val="#000000"/>
                <w:sz w:val="24"/>
                <w:szCs w:val="24"/>
              </w:rPr>
              <w:t> внеурочной деятельности и процессе изучения</w:t>
            </w:r>
          </w:p>
          <w:p>
            <w:pPr>
              <w:jc w:val="center"/>
              <w:spacing w:after="0" w:line="240" w:lineRule="auto"/>
              <w:rPr>
                <w:sz w:val="24"/>
                <w:szCs w:val="24"/>
              </w:rPr>
            </w:pPr>
            <w:r>
              <w:rPr>
                <w:rFonts w:ascii="Times New Roman" w:hAnsi="Times New Roman" w:cs="Times New Roman"/>
                <w:b/>
                <w:color w:val="#000000"/>
                <w:sz w:val="24"/>
                <w:szCs w:val="24"/>
              </w:rPr>
              <w:t> социально-гуманитарных предметов</w:t>
            </w:r>
          </w:p>
        </w:tc>
      </w:tr>
      <w:tr>
        <w:trPr>
          <w:trHeight w:hRule="exact" w:val="21.31518"/>
        </w:trPr>
        <w:tc>
          <w:tcPr>
            <w:tcW w:w="9640" w:type="dxa"/>
          </w:tcPr>
          <w:p/>
        </w:tc>
      </w:tr>
      <w:tr>
        <w:trPr>
          <w:trHeight w:hRule="exact" w:val="277.829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урока / внеурочного занятия</w:t>
            </w:r>
          </w:p>
          <w:p>
            <w:pPr>
              <w:jc w:val="center"/>
              <w:spacing w:after="0" w:line="240" w:lineRule="auto"/>
              <w:rPr>
                <w:sz w:val="24"/>
                <w:szCs w:val="24"/>
              </w:rPr>
            </w:pPr>
            <w:r>
              <w:rPr>
                <w:rFonts w:ascii="Times New Roman" w:hAnsi="Times New Roman" w:cs="Times New Roman"/>
                <w:b/>
                <w:color w:val="#000000"/>
                <w:sz w:val="24"/>
                <w:szCs w:val="24"/>
              </w:rPr>
              <w:t> (мероприятия) с использованием одной из</w:t>
            </w:r>
          </w:p>
          <w:p>
            <w:pPr>
              <w:jc w:val="center"/>
              <w:spacing w:after="0" w:line="240" w:lineRule="auto"/>
              <w:rPr>
                <w:sz w:val="24"/>
                <w:szCs w:val="24"/>
              </w:rPr>
            </w:pPr>
            <w:r>
              <w:rPr>
                <w:rFonts w:ascii="Times New Roman" w:hAnsi="Times New Roman" w:cs="Times New Roman"/>
                <w:b/>
                <w:color w:val="#000000"/>
                <w:sz w:val="24"/>
                <w:szCs w:val="24"/>
              </w:rPr>
              <w:t> современных технологий, направленного на</w:t>
            </w:r>
          </w:p>
          <w:p>
            <w:pPr>
              <w:jc w:val="center"/>
              <w:spacing w:after="0" w:line="240" w:lineRule="auto"/>
              <w:rPr>
                <w:sz w:val="24"/>
                <w:szCs w:val="24"/>
              </w:rPr>
            </w:pPr>
            <w:r>
              <w:rPr>
                <w:rFonts w:ascii="Times New Roman" w:hAnsi="Times New Roman" w:cs="Times New Roman"/>
                <w:b/>
                <w:color w:val="#000000"/>
                <w:sz w:val="24"/>
                <w:szCs w:val="24"/>
              </w:rPr>
              <w:t> гражданское и патриотическое воспитание</w:t>
            </w:r>
          </w:p>
          <w:p>
            <w:pPr>
              <w:jc w:val="center"/>
              <w:spacing w:after="0" w:line="240" w:lineRule="auto"/>
              <w:rPr>
                <w:sz w:val="24"/>
                <w:szCs w:val="24"/>
              </w:rPr>
            </w:pPr>
            <w:r>
              <w:rPr>
                <w:rFonts w:ascii="Times New Roman" w:hAnsi="Times New Roman" w:cs="Times New Roman"/>
                <w:b/>
                <w:color w:val="#000000"/>
                <w:sz w:val="24"/>
                <w:szCs w:val="24"/>
              </w:rPr>
              <w:t> обучающихся с использованием материалов</w:t>
            </w:r>
          </w:p>
          <w:p>
            <w:pPr>
              <w:jc w:val="center"/>
              <w:spacing w:after="0" w:line="240" w:lineRule="auto"/>
              <w:rPr>
                <w:sz w:val="24"/>
                <w:szCs w:val="24"/>
              </w:rPr>
            </w:pPr>
            <w:r>
              <w:rPr>
                <w:rFonts w:ascii="Times New Roman" w:hAnsi="Times New Roman" w:cs="Times New Roman"/>
                <w:b/>
                <w:color w:val="#000000"/>
                <w:sz w:val="24"/>
                <w:szCs w:val="24"/>
              </w:rPr>
              <w:t> Проекта «Без срока давности»</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53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98.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01.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dc:title>
  <dc:creator>FastReport.NET</dc:creator>
</cp:coreProperties>
</file>